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Style w:val="9"/>
          <w:rFonts w:hint="default" w:ascii="方正小标宋简体" w:hAnsi="黑体" w:eastAsia="方正小标宋简体" w:cs="黑体"/>
          <w:b w:val="0"/>
          <w:sz w:val="36"/>
          <w:szCs w:val="36"/>
          <w:lang w:val="en-US" w:eastAsia="zh-CN"/>
        </w:rPr>
      </w:pPr>
      <w:bookmarkStart w:id="0" w:name="_Toc429668906"/>
      <w:r>
        <w:rPr>
          <w:rStyle w:val="9"/>
          <w:rFonts w:hint="eastAsia" w:ascii="方正小标宋简体" w:hAnsi="黑体" w:eastAsia="方正小标宋简体" w:cs="黑体"/>
          <w:b w:val="0"/>
          <w:sz w:val="36"/>
          <w:szCs w:val="36"/>
          <w:lang w:val="en-US" w:eastAsia="zh-CN"/>
        </w:rPr>
        <w:t>附件2：</w:t>
      </w:r>
    </w:p>
    <w:p>
      <w:pPr>
        <w:spacing w:line="600" w:lineRule="exact"/>
        <w:jc w:val="center"/>
        <w:rPr>
          <w:rStyle w:val="9"/>
          <w:rFonts w:ascii="方正小标宋简体" w:hAnsi="黑体" w:eastAsia="方正小标宋简体" w:cs="黑体"/>
          <w:b w:val="0"/>
          <w:bCs w:val="0"/>
          <w:sz w:val="28"/>
          <w:szCs w:val="28"/>
        </w:rPr>
      </w:pPr>
      <w:r>
        <w:rPr>
          <w:rStyle w:val="9"/>
          <w:rFonts w:hint="eastAsia" w:ascii="方正小标宋简体" w:hAnsi="黑体" w:eastAsia="方正小标宋简体" w:cs="黑体"/>
          <w:b w:val="0"/>
          <w:sz w:val="28"/>
          <w:szCs w:val="28"/>
        </w:rPr>
        <w:t>中国国际“互联网+”大学生创新创业大赛高教主赛道评审规则</w:t>
      </w:r>
      <w:bookmarkEnd w:id="0"/>
    </w:p>
    <w:p>
      <w:pPr>
        <w:spacing w:line="560" w:lineRule="exact"/>
        <w:jc w:val="left"/>
        <w:rPr>
          <w:rFonts w:ascii="黑体" w:hAnsi="黑体" w:eastAsia="黑体" w:cs="仿宋_GB2312"/>
          <w:bCs/>
          <w:sz w:val="24"/>
          <w:szCs w:val="24"/>
        </w:rPr>
      </w:pPr>
      <w:r>
        <w:rPr>
          <w:rFonts w:hint="eastAsia" w:ascii="黑体" w:hAnsi="黑体" w:eastAsia="黑体" w:cs="仿宋_GB2312"/>
          <w:bCs/>
          <w:sz w:val="24"/>
          <w:szCs w:val="24"/>
        </w:rPr>
        <w:t>一、高教主赛道创意组项目评审要点</w:t>
      </w:r>
      <w:bookmarkStart w:id="1" w:name="_GoBack"/>
      <w:bookmarkEnd w:id="1"/>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00" w:lineRule="exact"/>
              <w:jc w:val="left"/>
              <w:rPr>
                <w:rFonts w:ascii="仿宋_GB2312" w:eastAsia="仿宋_GB2312" w:cs="仿宋_GB2312"/>
                <w:sz w:val="28"/>
                <w:szCs w:val="28"/>
              </w:rPr>
            </w:pPr>
            <w:r>
              <w:rPr>
                <w:rFonts w:hint="eastAsia" w:ascii="仿宋_GB2312" w:eastAsia="仿宋_GB2312" w:cs="仿宋_GB2312"/>
                <w:sz w:val="28"/>
                <w:szCs w:val="28"/>
              </w:rPr>
              <w:t>1</w:t>
            </w:r>
            <w:r>
              <w:rPr>
                <w:rFonts w:ascii="仿宋_GB2312" w:eastAsia="仿宋_GB2312" w:cs="仿宋_GB2312"/>
                <w:sz w:val="28"/>
                <w:szCs w:val="28"/>
              </w:rPr>
              <w:t>.</w:t>
            </w:r>
            <w:r>
              <w:rPr>
                <w:rFonts w:hint="eastAsia" w:ascii="仿宋_GB2312" w:eastAsia="仿宋_GB2312" w:cs="仿宋_GB2312"/>
                <w:sz w:val="28"/>
                <w:szCs w:val="28"/>
              </w:rPr>
              <w:t>具有原始创新或技术突破，</w:t>
            </w:r>
            <w:r>
              <w:rPr>
                <w:rFonts w:hint="eastAsia" w:ascii="仿宋_GB2312" w:eastAsia="仿宋_GB2312" w:cs="仿宋" w:hAnsiTheme="majorEastAsia"/>
                <w:sz w:val="28"/>
                <w:szCs w:val="28"/>
              </w:rPr>
              <w:t>取得一定数量和质量的创新成果（专利、创新奖励、行业认可等）。</w:t>
            </w:r>
          </w:p>
          <w:p>
            <w:pPr>
              <w:spacing w:line="400" w:lineRule="exact"/>
              <w:jc w:val="left"/>
              <w:rPr>
                <w:rFonts w:ascii="仿宋_GB2312" w:eastAsia="仿宋_GB2312" w:cs="仿宋" w:hAnsiTheme="majorEastAsia"/>
                <w:sz w:val="28"/>
                <w:szCs w:val="28"/>
              </w:rPr>
            </w:pPr>
            <w:r>
              <w:rPr>
                <w:rFonts w:ascii="仿宋_GB2312" w:eastAsia="仿宋_GB2312" w:cs="仿宋_GB2312"/>
                <w:sz w:val="28"/>
                <w:szCs w:val="28"/>
              </w:rPr>
              <w:t>2.</w:t>
            </w:r>
            <w:r>
              <w:rPr>
                <w:rFonts w:hint="eastAsia" w:ascii="仿宋_GB2312" w:eastAsia="仿宋_GB2312" w:cs="仿宋" w:hAnsiTheme="majorEastAsia"/>
                <w:sz w:val="28"/>
                <w:szCs w:val="28"/>
              </w:rPr>
              <w:t>在商业模式、产品服务、管理运营、市场营销、工艺流程、应用场景等方面取得突破和创新。</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r>
              <w:rPr>
                <w:rFonts w:hint="eastAsia" w:ascii="仿宋_GB2312" w:eastAsia="仿宋_GB2312" w:cs="仿宋" w:hAnsi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团队成员的教育、实践、工作背景、创新能力、价值观念、分工协作和能力互补情况。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团队的组织构架、股权结构、人员配置以及激励制度合理性情况。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创业顾问、投资人以及战略合作伙伴等外部资源的使用以及与项目关系的情况。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r>
              <w:rPr>
                <w:rFonts w:hint="eastAsia" w:ascii="仿宋_GB2312" w:eastAsia="仿宋_GB2312" w:cs="仿宋" w:hAnsi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商业模式设计完整、可行，项目已具备盈利能力或具有较好的盈利潜力。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项目在商业机会识别与利用、产品或服务设计、技术基础、竞争与合作、资金及人员计划，以及在现行法律法规限制等方面具有实施的可行性。</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对行业、市场、技术等方面有详实调研，并形成可靠的一手材料，强调实地调查和实践检验。</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项目目标市场容量及市场前景；发展战略和规模扩张策略的合理性和可行性；在财务管理（筹资、投资、营运资金、利润分配等）方面的合理性。</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项目间接带动就业的能力和规模。</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widowControl/>
      </w:pPr>
      <w:r>
        <w:br w:type="page"/>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二、高教主赛道初创组、成长组项目评审要点</w:t>
      </w:r>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商业模式设计完整、可行，产品或服务成熟度及市场认可度。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经营绩效方面，重点考察项目存续时间、营业收入（合同订单）现状、企业利润、持续盈利能力、市场份额、客户（用户）情况、税收上缴、投入与产出比等情况。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成长性方面，重点考察项目目标市场容量大小及可扩展性，是否有合适的计划和可靠资源（人力资源、资金、技术等方面）支持其未来持续快速成长。</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现金流及融资方面，关注项目已获外部投资情况、维持企业正常经营的现金流情况、企业融资需求及资金使用规划是否合理。</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5.项目对相关产业升级或颠覆的情况；项目与区域经济发展、产业转型升级相结合情况。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团队成员的教育和工作背景、创新能力、价值观念、分工协作和能力互补情况，重点考察成员的投入程度。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团队的组织构架、股权结构、人员配置以及激励制度合理性情况。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创业顾问、投资人以及战略合作伙伴等外部资源的使用以及与项目关系的情况。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具有原始创新或技术突破，取得一定数量和质量的创新成果（专利、创新奖励、行业认可等）。</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在商业模式、产品服务、管理运营、市场营销、工艺流程、应用场景等方面取得突破和创新。</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widowControl/>
      </w:pPr>
      <w:r>
        <w:br w:type="page"/>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三、高教主赛道师生共创组项目评审要点</w:t>
      </w:r>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（未注册公司）</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1.商业模式设计完整、可行，项目已具备盈利能力或具有较好的盈利潜力。</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2.项目在商业机会识别与利用、产品或服务设计、技术基础、竞争与合作、资金及人员计划，以及在现行法律法规限制等方面具有实施的可行性。</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3.对行业、市场、技术等方面有详实调研，并形成可靠的一手材料，强调实地调查和实践检验。</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4.项目目标市场容量及市场前景；发展战略和规模扩张策略的合理性和可行性；在财务管理（筹资、投资、营运资金、利润分配等）方面的合理性。</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商业性（已注册公司）</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1.商业模式设计完整、可行，产品或服务成熟度及市场认可度。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2.经营绩效方面，重点考察项目存续时间、营业收入（合同订单）现状、企业利润、持续盈利能力、市场份额、客户（用户）情况、税收上缴、投入与产出比等情况。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3.成长性方面，重点考察项目目标市场容量大小及可扩展性，是否有合适的计划和可靠资源（人力资源、资金、技术等方面）支持其未来持续快速成长。</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4.现金流及融资方面，关注项目已获外部投资情况、维持企业正常经营的现金流情况、企业融资需求及资金使用规划是否合理。</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1.团队成员的教育和工作背景、创新能力、价值观念、分工协作和能力互补情况，重点考察师生分工协作、利益分配情况及合作关系稳定程度。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项目的组织构架、股权结构、人员配置以及激励制度合理性情况。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创业顾问、投资人以及战略合作伙伴等外部资源的使用以及与项目关系的情况。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具有原始创新或技术突破，取得一定数量和质量的创新成果（专利、创新奖励、行业认可等）。</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2.</w:t>
            </w:r>
            <w:r>
              <w:rPr>
                <w:rFonts w:hint="eastAsia" w:ascii="仿宋_GB2312" w:eastAsia="仿宋_GB2312" w:cs="仿宋" w:hAnsiTheme="majorEastAsia"/>
                <w:sz w:val="28"/>
                <w:szCs w:val="28"/>
              </w:rPr>
              <w:t>在商业模式、产品服务、管理运营、市场营销、工艺流程、应用场景等方面取得突破和创新。</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
      <w:pPr>
        <w:widowControl/>
      </w:pPr>
      <w:r>
        <w:br w:type="page"/>
      </w:r>
    </w:p>
    <w:p>
      <w:pPr>
        <w:spacing w:line="600" w:lineRule="exact"/>
        <w:jc w:val="center"/>
        <w:rPr>
          <w:rStyle w:val="9"/>
          <w:rFonts w:ascii="方正小标宋简体" w:hAnsi="黑体" w:eastAsia="方正小标宋简体" w:cs="黑体"/>
          <w:b w:val="0"/>
          <w:bCs w:val="0"/>
          <w:sz w:val="36"/>
          <w:szCs w:val="36"/>
        </w:rPr>
      </w:pPr>
      <w:r>
        <w:rPr>
          <w:rStyle w:val="9"/>
          <w:rFonts w:hint="eastAsia" w:ascii="方正小标宋简体" w:hAnsi="黑体" w:eastAsia="方正小标宋简体" w:cs="黑体"/>
          <w:b w:val="0"/>
          <w:sz w:val="36"/>
          <w:szCs w:val="36"/>
        </w:rPr>
        <w:t>红旅赛道评审规则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一、红旅赛道公益组项目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项目团队</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团队成员的基本素质、业务能力、奉献意愿和价值观与项目需求相匹配。</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团队的组织架构与分工协作合理。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团队权益结构或公司股权结构合理。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团队的延续性或接替性。</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公益性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项目以社会价值为导向，以解决社会问题为使命，不以营利为目的，有可预见的公益成果，公益受众的覆盖面广。</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在公益服务领域有良好产品或服务模式。</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实效性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项目对精准扶贫、乡村振兴和社区治理等社会问题的贡献度。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在引入社会资源方面对农村组织和农民增收、地方产业结构优化等的效果。</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项目对促进就业、教育、医疗、养老、环境保护与生态建设等方面的效果。</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鼓励技术或服务创新、引入或运用新技术，鼓励高校科研成果转化。</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鼓励组织模式创新或进行资源整合。</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可持续性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项目的持续生存能力。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创新研发、生产销售、资源整合等持续运营能力。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项目模式可复制、可推广、具有示范效应等。</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必要条件</w:t>
            </w:r>
          </w:p>
        </w:tc>
        <w:tc>
          <w:tcPr>
            <w:tcW w:w="8363" w:type="dxa"/>
            <w:gridSpan w:val="2"/>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参加由学校、省市或全国组织的“青年红色筑梦之旅”活动，符合公益性要求。</w:t>
            </w:r>
          </w:p>
        </w:tc>
      </w:tr>
    </w:tbl>
    <w:p/>
    <w:p>
      <w:pPr>
        <w:widowControl/>
      </w:pPr>
      <w:r>
        <w:br w:type="page"/>
      </w:r>
    </w:p>
    <w:p>
      <w:pPr>
        <w:spacing w:line="560" w:lineRule="exact"/>
        <w:jc w:val="left"/>
        <w:rPr>
          <w:rFonts w:cs="仿宋" w:asciiTheme="minorEastAsia" w:hAnsiTheme="minorEastAsia" w:eastAsiaTheme="minorEastAsia"/>
          <w:sz w:val="24"/>
          <w:szCs w:val="24"/>
        </w:rPr>
      </w:pPr>
      <w:r>
        <w:rPr>
          <w:rFonts w:hint="eastAsia" w:ascii="黑体" w:hAnsi="黑体" w:eastAsia="黑体" w:cs="仿宋_GB2312"/>
          <w:bCs/>
          <w:sz w:val="32"/>
          <w:szCs w:val="32"/>
        </w:rPr>
        <w:t>二、红旅赛道商业组项目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项目团队</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团队成员的基本素质、业务能力、奉献意愿和价值观与项目需求相匹配。</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团队的组织架构与分工协作合理。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团队权益结构或公司股权结构合理。</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实效性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项目商业模式设计完整、可行，产品或服务对精准扶贫、乡村振兴和社区治理等社会问题的贡献度。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在引入社会资源方面对农村组织和农民增收、地方产业结构优化的效果。</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项目对促进文化、教育、医疗、养老、环境保护与生态建设等方面的效果。</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4.项目的成长性与区域经济发展、产业转型升级相结合。</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鼓励技术或服务创新、引入或运用新技术，鼓励高校科研成果转化。</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鼓励在生产、服务、营销等方面创新。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鼓励组织模式创新或进行资源整合。</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可持续性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项目的持续生存能力。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经济价值和社会价值适度融合。</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创新研发、生产销售、资源整合等持续运营能力。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项目模式可复制、可推广，具有示范效应。</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widowControl/>
              <w:snapToGrid w:val="0"/>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必要条件</w:t>
            </w:r>
          </w:p>
        </w:tc>
        <w:tc>
          <w:tcPr>
            <w:tcW w:w="8363" w:type="dxa"/>
            <w:gridSpan w:val="2"/>
            <w:vAlign w:val="center"/>
          </w:tcPr>
          <w:p>
            <w:pPr>
              <w:widowControl/>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参加由学校、省市或全国组织的“青年红色筑梦之旅”活动。</w:t>
            </w:r>
          </w:p>
        </w:tc>
      </w:tr>
    </w:tbl>
    <w:p/>
    <w:p>
      <w:pPr>
        <w:widowControl/>
      </w:pPr>
      <w:r>
        <w:br w:type="page"/>
      </w:r>
    </w:p>
    <w:p>
      <w:pPr>
        <w:spacing w:line="600" w:lineRule="exact"/>
        <w:jc w:val="center"/>
        <w:rPr>
          <w:rStyle w:val="9"/>
          <w:rFonts w:ascii="方正小标宋简体" w:hAnsi="黑体" w:eastAsia="方正小标宋简体" w:cs="黑体"/>
          <w:b w:val="0"/>
          <w:bCs w:val="0"/>
          <w:sz w:val="36"/>
          <w:szCs w:val="36"/>
        </w:rPr>
      </w:pPr>
      <w:r>
        <w:rPr>
          <w:rStyle w:val="9"/>
          <w:rFonts w:hint="eastAsia" w:ascii="方正小标宋简体" w:hAnsi="黑体" w:eastAsia="方正小标宋简体" w:cs="黑体"/>
          <w:b w:val="0"/>
          <w:sz w:val="36"/>
          <w:szCs w:val="36"/>
        </w:rPr>
        <w:t>职教赛道评审规则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一、职教赛道创意组项目评审要点</w:t>
      </w:r>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具有原始创意、创造。</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具有面向培养“大国工匠”与能工巧匠的创意与创新。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项目体现产教融合模式创新、校企合作模式创新、工学一体模式创新。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鼓励面向职业和岗位的创意及创新，侧重于加工工艺创新、实用技术创新、产品（技术）改良、应用性优化、民生类创意等。</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1.团队成员的教育、实践、工作背景、创新能力、价值观念、分工协作和能力互补情况。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2.团队的组织构架、股权结构、人员配置以及激励制度合理性情况。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3.创业顾问、投资人以及战略合作伙伴等外部资源的使用以及与项目关系的情况。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tcPr>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商业模式设计完整、可行，项目已具备盈利能力或具有较好的盈利潜力。</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项目在商业机会识别与利用、产品或服务设计、技术基础、竞争与合作、资金及人员计划，以及在现行法律法规限制等方面具有实施的可行性。</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对行业、市场、技术等方面有详实调研，并形成可靠的一手材料，强调实地调查和实践检验。</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项目目标市场容量及市场前景；发展战略和规模扩张策略的合理性和可行性；在财务管理（筹资、投资、营运资金、利润分配等）方面的合理性。</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二、职教赛道创业组项目评审要点</w:t>
      </w:r>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商业模式设计完整、可行，产品或服务成熟度及市场认可度。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经营绩效方面，重点考察项目存续时间、营业收入（合同订单）现状、企业利润、持续盈利能力、市场份额、客户（用户）情况、税收上缴、投入与产出比等情况。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成长性方面，重点考察项目目标市场容量大小及可扩展性，是否有合适的计划和可靠资源（人力资源、资金、技术等方面）支持其未来持续快速成长。</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现金流及融资方面，关注项目已获外部投资情况、维持企业正常经营的现金流情况、企业融资需求及资金使用规划是否合理。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5.项目对相关产业升级或颠覆的情况；项目与区域经济发展、产业转型升级相结合情况。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1.团队成员的教育和工作背景、创新能力、价值观念、分工协作和能力互补情况，重点考察成员的投入程度。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2.团队的组织构架、股权结构、人员配置以及激励制度合理性情况。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3.创业顾问、投资人以及战略合作伙伴等外部资源的使用以及与项目关系的情况。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1.具有原始创意、创造。</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2.具有面向培养“大国工匠”与能工巧匠的创意与创新。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3.项目体现产教融合模式创新、校企合作模式创新、工学一体模式创新。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4.鼓励面向职业和岗位的创意及创新，侧重于加工工艺创新、实用技术创新、产品（技术）改良、应用性优化、民生类创意等。</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jc w:val="center"/>
        <w:rPr>
          <w:rStyle w:val="9"/>
          <w:rFonts w:ascii="方正小标宋简体" w:hAnsi="黑体" w:eastAsia="方正小标宋简体" w:cs="黑体"/>
          <w:b w:val="0"/>
          <w:bCs w:val="0"/>
          <w:sz w:val="36"/>
          <w:szCs w:val="36"/>
        </w:rPr>
      </w:pPr>
      <w:r>
        <w:rPr>
          <w:rStyle w:val="9"/>
          <w:rFonts w:hint="eastAsia" w:ascii="方正小标宋简体" w:hAnsi="黑体" w:eastAsia="方正小标宋简体" w:cs="黑体"/>
          <w:b w:val="0"/>
          <w:sz w:val="36"/>
          <w:szCs w:val="36"/>
        </w:rPr>
        <w:t>萌芽赛道评审规则</w:t>
      </w:r>
    </w:p>
    <w:tbl>
      <w:tblPr>
        <w:tblStyle w:val="7"/>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项目的想象力和创造力，就发现的问题和解决途径进行创意设计，创意设计过程符合客观规律。</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2.</w:t>
            </w:r>
            <w:r>
              <w:rPr>
                <w:rFonts w:hint="eastAsia" w:ascii="仿宋_GB2312" w:eastAsia="仿宋_GB2312" w:cs="仿宋" w:hAnsiTheme="majorEastAsia"/>
                <w:sz w:val="28"/>
                <w:szCs w:val="28"/>
              </w:rPr>
              <w:t>科技创意证据充分，有足够的科学研究参与度(调查、实验、制作、验证等)。</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3.</w:t>
            </w:r>
            <w:r>
              <w:rPr>
                <w:rFonts w:hint="eastAsia" w:ascii="仿宋_GB2312" w:eastAsia="仿宋_GB2312" w:cs="仿宋" w:hAnsiTheme="majorEastAsia"/>
                <w:sz w:val="28"/>
                <w:szCs w:val="28"/>
              </w:rPr>
              <w:t>文化创意逻辑清晰、完整，调研和分析数据充分。</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实践性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项目的可行性、应用性和完整性。</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2.</w:t>
            </w:r>
            <w:r>
              <w:rPr>
                <w:rFonts w:hint="eastAsia" w:ascii="仿宋_GB2312" w:eastAsia="仿宋_GB2312" w:cs="仿宋" w:hAnsiTheme="majorEastAsia"/>
                <w:sz w:val="28"/>
                <w:szCs w:val="28"/>
              </w:rPr>
              <w:t>项目具备可执行的计划或实践方案。</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项目具有可预见价值，能够让未来的生活更美好。</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自主性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项目符合团队成员年龄段的知识结构和实施项目能力。</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项目选题、创意模式构建主要由学生提出和完成。</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团队成员能够准确表述项目内容及原理，真实可信。</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涉及科技成果和专利发明的，需提供证明材料或授权证明材料。</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团队成员的创新精神和创新意识与能力。</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项目团队成员的教育背景、基本素质、价值观念、知识结构、擅长领域。</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团队构成和分工协作合理。</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bl>
    <w:p/>
    <w:sectPr>
      <w:footerReference r:id="rId3" w:type="default"/>
      <w:pgSz w:w="11906" w:h="16838"/>
      <w:pgMar w:top="851" w:right="1797" w:bottom="1276"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4277"/>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797E"/>
    <w:rsid w:val="00096800"/>
    <w:rsid w:val="00236552"/>
    <w:rsid w:val="00365EA0"/>
    <w:rsid w:val="0041786A"/>
    <w:rsid w:val="0044765E"/>
    <w:rsid w:val="00450DAD"/>
    <w:rsid w:val="0049506A"/>
    <w:rsid w:val="007116AC"/>
    <w:rsid w:val="007250F1"/>
    <w:rsid w:val="007C5438"/>
    <w:rsid w:val="008936CA"/>
    <w:rsid w:val="008C4B1A"/>
    <w:rsid w:val="00923F02"/>
    <w:rsid w:val="009C43F1"/>
    <w:rsid w:val="009D29EF"/>
    <w:rsid w:val="00A84684"/>
    <w:rsid w:val="00A97A8A"/>
    <w:rsid w:val="00AE2509"/>
    <w:rsid w:val="00B021DA"/>
    <w:rsid w:val="00B75B50"/>
    <w:rsid w:val="00BF1554"/>
    <w:rsid w:val="00CD5865"/>
    <w:rsid w:val="00E334BB"/>
    <w:rsid w:val="04945377"/>
    <w:rsid w:val="5711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jc w:val="left"/>
    </w:pPr>
    <w:rPr>
      <w:rFonts w:eastAsia="宋体" w:cs="Times New Roman"/>
      <w:sz w:val="21"/>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2 字符"/>
    <w:basedOn w:val="8"/>
    <w:link w:val="2"/>
    <w:qFormat/>
    <w:uiPriority w:val="9"/>
    <w:rPr>
      <w:rFonts w:asciiTheme="majorHAnsi" w:hAnsiTheme="majorHAnsi" w:eastAsiaTheme="majorEastAsia" w:cstheme="majorBidi"/>
      <w:b/>
      <w:bCs/>
      <w:szCs w:val="32"/>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character" w:customStyle="1" w:styleId="12">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9</Pages>
  <Words>828</Words>
  <Characters>4726</Characters>
  <Lines>39</Lines>
  <Paragraphs>11</Paragraphs>
  <TotalTime>84</TotalTime>
  <ScaleCrop>false</ScaleCrop>
  <LinksUpToDate>false</LinksUpToDate>
  <CharactersWithSpaces>5543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2020-07-24T05:48:00Z</dcterms:created>
  <dc:creator>saking</dc:creator>
  <cp:lastModifiedBy>庞燃</cp:lastModifiedBy>
  <dcterms:modified xsi:type="dcterms:W3CDTF">2020-11-03T07:39:37Z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